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ECBB" w14:textId="738431DE" w:rsidR="005C5063" w:rsidRPr="00EE1115" w:rsidRDefault="005C5063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  <w:r w:rsidRPr="00EE1115">
        <w:rPr>
          <w:rFonts w:ascii="Tahoma" w:eastAsiaTheme="minorEastAsia" w:hAnsi="Tahoma" w:cs="Tahoma"/>
          <w:b/>
          <w:sz w:val="20"/>
          <w:szCs w:val="20"/>
        </w:rPr>
        <w:t xml:space="preserve">ARRETE DE </w:t>
      </w:r>
      <w:r w:rsidR="00A809FD">
        <w:rPr>
          <w:rFonts w:ascii="Tahoma" w:eastAsiaTheme="minorEastAsia" w:hAnsi="Tahoma" w:cs="Tahoma"/>
          <w:b/>
          <w:sz w:val="20"/>
          <w:szCs w:val="20"/>
        </w:rPr>
        <w:t>PLACEMENT</w:t>
      </w:r>
      <w:r w:rsidRPr="00EE1115">
        <w:rPr>
          <w:rFonts w:ascii="Tahoma" w:eastAsiaTheme="minorEastAsia" w:hAnsi="Tahoma" w:cs="Tahoma"/>
          <w:b/>
          <w:sz w:val="20"/>
          <w:szCs w:val="20"/>
        </w:rPr>
        <w:t xml:space="preserve"> EN CONGE MALADIE ORDINAIRE</w:t>
      </w:r>
      <w:r w:rsidR="00C37FDB">
        <w:rPr>
          <w:rFonts w:ascii="Tahoma" w:eastAsiaTheme="minorEastAsia" w:hAnsi="Tahoma" w:cs="Tahoma"/>
          <w:b/>
          <w:sz w:val="20"/>
          <w:szCs w:val="20"/>
        </w:rPr>
        <w:t>, ARRET INITIAL</w:t>
      </w:r>
    </w:p>
    <w:p w14:paraId="07937ACF" w14:textId="6DACAD29" w:rsidR="005C5063" w:rsidRDefault="005C5063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  <w:r w:rsidRPr="00EE1115">
        <w:rPr>
          <w:rFonts w:ascii="Tahoma" w:eastAsiaTheme="minorEastAsia" w:hAnsi="Tahoma" w:cs="Tahoma"/>
          <w:b/>
          <w:sz w:val="20"/>
          <w:szCs w:val="20"/>
        </w:rPr>
        <w:t>AVEC JOURNEE DE CARENCE</w:t>
      </w:r>
    </w:p>
    <w:p w14:paraId="147BFEA0" w14:textId="5360B702" w:rsidR="00EE1115" w:rsidRDefault="00EE1115" w:rsidP="00C37FDB">
      <w:pPr>
        <w:spacing w:line="276" w:lineRule="auto"/>
        <w:jc w:val="center"/>
        <w:rPr>
          <w:rFonts w:ascii="Tahoma" w:eastAsiaTheme="minorEastAsia" w:hAnsi="Tahoma" w:cs="Tahoma"/>
          <w:bCs/>
          <w:i/>
          <w:iCs/>
          <w:sz w:val="20"/>
          <w:szCs w:val="20"/>
        </w:rPr>
      </w:pPr>
      <w:r>
        <w:rPr>
          <w:rFonts w:ascii="Tahoma" w:eastAsiaTheme="minorEastAsia" w:hAnsi="Tahoma" w:cs="Tahoma"/>
          <w:b/>
          <w:sz w:val="20"/>
          <w:szCs w:val="20"/>
        </w:rPr>
        <w:t>DE M…………………………</w:t>
      </w:r>
      <w:proofErr w:type="gramStart"/>
      <w:r>
        <w:rPr>
          <w:rFonts w:ascii="Tahoma" w:eastAsiaTheme="minorEastAsia" w:hAnsi="Tahoma" w:cs="Tahoma"/>
          <w:b/>
          <w:sz w:val="20"/>
          <w:szCs w:val="20"/>
        </w:rPr>
        <w:t>…….</w:t>
      </w:r>
      <w:proofErr w:type="gramEnd"/>
      <w:r>
        <w:rPr>
          <w:rFonts w:ascii="Tahoma" w:eastAsiaTheme="minorEastAsia" w:hAnsi="Tahoma" w:cs="Tahoma"/>
          <w:b/>
          <w:sz w:val="20"/>
          <w:szCs w:val="20"/>
        </w:rPr>
        <w:t xml:space="preserve">. </w:t>
      </w:r>
      <w:r w:rsidRPr="00EE1115">
        <w:rPr>
          <w:rFonts w:ascii="Tahoma" w:eastAsiaTheme="minorEastAsia" w:hAnsi="Tahoma" w:cs="Tahoma"/>
          <w:bCs/>
          <w:i/>
          <w:iCs/>
          <w:sz w:val="20"/>
          <w:szCs w:val="20"/>
        </w:rPr>
        <w:t>(Nom et prénom de l’agent)</w:t>
      </w:r>
    </w:p>
    <w:p w14:paraId="4059A876" w14:textId="74292FE3" w:rsidR="00EE1115" w:rsidRDefault="00EE1115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</w:p>
    <w:p w14:paraId="211B610B" w14:textId="77777777" w:rsidR="001E2E8D" w:rsidRPr="00435A83" w:rsidRDefault="001E2E8D" w:rsidP="00C37FDB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i/>
          <w:iCs/>
        </w:rPr>
      </w:pPr>
      <w:r w:rsidRPr="00435A83">
        <w:rPr>
          <w:rFonts w:ascii="Tahoma" w:hAnsi="Tahoma" w:cs="Tahoma"/>
          <w:b/>
          <w:i/>
          <w:iCs/>
        </w:rPr>
        <w:t>Les mentions en italiques constituent des commentaires destinés à faciliter</w:t>
      </w:r>
    </w:p>
    <w:p w14:paraId="3266BA24" w14:textId="77777777" w:rsidR="001E2E8D" w:rsidRPr="00435A83" w:rsidRDefault="001E2E8D" w:rsidP="00C37FDB">
      <w:pPr>
        <w:tabs>
          <w:tab w:val="left" w:pos="284"/>
          <w:tab w:val="left" w:pos="2552"/>
        </w:tabs>
        <w:jc w:val="center"/>
        <w:rPr>
          <w:rStyle w:val="lev"/>
          <w:rFonts w:ascii="Tahoma" w:hAnsi="Tahoma" w:cs="Tahoma"/>
        </w:rPr>
      </w:pPr>
      <w:proofErr w:type="gramStart"/>
      <w:r w:rsidRPr="00435A83">
        <w:rPr>
          <w:rFonts w:ascii="Tahoma" w:hAnsi="Tahoma" w:cs="Tahoma"/>
          <w:b/>
          <w:i/>
          <w:iCs/>
        </w:rPr>
        <w:t>la</w:t>
      </w:r>
      <w:proofErr w:type="gramEnd"/>
      <w:r w:rsidRPr="00435A83">
        <w:rPr>
          <w:rFonts w:ascii="Tahoma" w:hAnsi="Tahoma" w:cs="Tahoma"/>
          <w:b/>
          <w:i/>
          <w:iCs/>
        </w:rPr>
        <w:t xml:space="preserve"> rédaction de l’arrêté. Ils doivent être supprimés de l’arrêté définitif.</w:t>
      </w:r>
    </w:p>
    <w:p w14:paraId="29FFB412" w14:textId="77777777" w:rsidR="001E2E8D" w:rsidRPr="00435A83" w:rsidRDefault="001E2E8D" w:rsidP="00C37FDB">
      <w:pPr>
        <w:tabs>
          <w:tab w:val="left" w:pos="284"/>
          <w:tab w:val="left" w:pos="2552"/>
        </w:tabs>
        <w:rPr>
          <w:rFonts w:ascii="Tahoma" w:hAnsi="Tahoma" w:cs="Tahoma"/>
          <w:b/>
          <w:i/>
          <w:iCs/>
        </w:rPr>
      </w:pPr>
    </w:p>
    <w:p w14:paraId="5A3558CA" w14:textId="77777777" w:rsidR="00C37FDB" w:rsidRPr="001E2E8D" w:rsidRDefault="00C37FDB" w:rsidP="00C37FDB">
      <w:pPr>
        <w:tabs>
          <w:tab w:val="left" w:pos="284"/>
          <w:tab w:val="left" w:pos="2552"/>
        </w:tabs>
        <w:jc w:val="both"/>
        <w:rPr>
          <w:rFonts w:ascii="Tahoma" w:hAnsi="Tahoma" w:cs="Tahoma"/>
          <w:i/>
          <w:iCs/>
          <w:sz w:val="20"/>
          <w:szCs w:val="20"/>
          <w:highlight w:val="yellow"/>
        </w:rPr>
      </w:pP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Durée </w:t>
      </w:r>
      <w:r w:rsidRPr="001E2E8D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 congé de </w:t>
      </w:r>
      <w:r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maladie ordinaire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1 an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maximum. 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Rémunération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3 mois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à plein traitement,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9 mois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à demi-traitement</w:t>
      </w:r>
      <w:r w:rsidRPr="001E2E8D">
        <w:rPr>
          <w:rFonts w:ascii="Tahoma" w:hAnsi="Tahoma" w:cs="Tahoma"/>
          <w:i/>
          <w:iCs/>
          <w:sz w:val="20"/>
          <w:szCs w:val="20"/>
          <w:highlight w:val="yellow"/>
        </w:rPr>
        <w:t>.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 xml:space="preserve"> Un </w:t>
      </w:r>
      <w:r w:rsidRPr="000534C0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avis du médecin agréé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 xml:space="preserve"> est obligatoire pour la prolongation d’un congé de maladie ordinaire </w:t>
      </w:r>
      <w:r w:rsidRPr="000534C0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au-delà de 6 mois consécutifs.</w:t>
      </w:r>
    </w:p>
    <w:p w14:paraId="4B9C2DB3" w14:textId="77777777" w:rsidR="00C37FDB" w:rsidRPr="00EE1115" w:rsidRDefault="00C37FDB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</w:p>
    <w:p w14:paraId="41921095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92F4D4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Le Maire </w:t>
      </w:r>
      <w:r w:rsidRPr="001E2E8D">
        <w:rPr>
          <w:rFonts w:ascii="Tahoma" w:hAnsi="Tahoma" w:cs="Tahoma"/>
          <w:i/>
          <w:iCs/>
          <w:sz w:val="20"/>
          <w:szCs w:val="20"/>
        </w:rPr>
        <w:t>(ou le Président)</w:t>
      </w:r>
      <w:r>
        <w:rPr>
          <w:rFonts w:ascii="Tahoma" w:hAnsi="Tahoma" w:cs="Tahoma"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 xml:space="preserve">................................................., </w:t>
      </w:r>
    </w:p>
    <w:p w14:paraId="6FC7348A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83795EE" w14:textId="775F63C8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Vu le </w:t>
      </w:r>
      <w:r>
        <w:rPr>
          <w:rFonts w:ascii="Tahoma" w:hAnsi="Tahoma" w:cs="Tahoma"/>
          <w:sz w:val="20"/>
          <w:szCs w:val="20"/>
        </w:rPr>
        <w:t>c</w:t>
      </w:r>
      <w:r w:rsidRPr="00E84729">
        <w:rPr>
          <w:rFonts w:ascii="Tahoma" w:hAnsi="Tahoma" w:cs="Tahoma"/>
          <w:sz w:val="20"/>
          <w:szCs w:val="20"/>
        </w:rPr>
        <w:t xml:space="preserve">ode </w:t>
      </w:r>
      <w:r>
        <w:rPr>
          <w:rFonts w:ascii="Tahoma" w:hAnsi="Tahoma" w:cs="Tahoma"/>
          <w:sz w:val="20"/>
          <w:szCs w:val="20"/>
        </w:rPr>
        <w:t>g</w:t>
      </w:r>
      <w:r w:rsidRPr="00E84729">
        <w:rPr>
          <w:rFonts w:ascii="Tahoma" w:hAnsi="Tahoma" w:cs="Tahoma"/>
          <w:sz w:val="20"/>
          <w:szCs w:val="20"/>
        </w:rPr>
        <w:t>énéral de la Fonction Publique</w:t>
      </w:r>
      <w:r>
        <w:rPr>
          <w:rFonts w:ascii="Tahoma" w:hAnsi="Tahoma" w:cs="Tahoma"/>
          <w:sz w:val="20"/>
          <w:szCs w:val="20"/>
        </w:rPr>
        <w:t xml:space="preserve"> et notamment les articles L115-</w:t>
      </w:r>
      <w:r w:rsidR="00534F1A">
        <w:rPr>
          <w:rFonts w:ascii="Tahoma" w:hAnsi="Tahoma" w:cs="Tahoma"/>
          <w:sz w:val="20"/>
          <w:szCs w:val="20"/>
        </w:rPr>
        <w:t>2,</w:t>
      </w:r>
      <w:r>
        <w:rPr>
          <w:rFonts w:ascii="Tahoma" w:hAnsi="Tahoma" w:cs="Tahoma"/>
          <w:sz w:val="20"/>
          <w:szCs w:val="20"/>
        </w:rPr>
        <w:t xml:space="preserve"> L115-</w:t>
      </w:r>
      <w:r w:rsidR="00534F1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, L822-1 à L822-5, L822-27 à L822-30,</w:t>
      </w:r>
    </w:p>
    <w:p w14:paraId="2183E692" w14:textId="77777777" w:rsidR="0064755F" w:rsidRDefault="0064755F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68E29E" w14:textId="42AE7D80" w:rsidR="00534F1A" w:rsidRPr="00E84729" w:rsidRDefault="00534F1A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le décret n° 86-442 du 14 mars 1986, relatif aux médecins agréés, aux comités médicaux et commissions de réforme, aux conditions d’aptitude physique et aux congés de maladie des fonctionnaires, art. 24 à 27,</w:t>
      </w:r>
    </w:p>
    <w:p w14:paraId="177FB8C9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E0AB06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>Vu le décret n° 87-602 du 30 juillet 1987 modifié</w:t>
      </w:r>
      <w:r>
        <w:rPr>
          <w:rFonts w:ascii="Tahoma" w:hAnsi="Tahoma" w:cs="Tahoma"/>
          <w:sz w:val="20"/>
          <w:szCs w:val="20"/>
        </w:rPr>
        <w:t>,</w:t>
      </w:r>
      <w:r w:rsidRPr="00E84729">
        <w:rPr>
          <w:rFonts w:ascii="Tahoma" w:hAnsi="Tahoma" w:cs="Tahoma"/>
          <w:sz w:val="20"/>
          <w:szCs w:val="20"/>
        </w:rPr>
        <w:t xml:space="preserve"> relatif à l'organisation des comités médicaux, aux conditions d'aptitude physique et au régime des congés de maladie des fonctionnaires territoriaux,</w:t>
      </w:r>
      <w:r>
        <w:rPr>
          <w:rFonts w:ascii="Tahoma" w:hAnsi="Tahoma" w:cs="Tahoma"/>
          <w:sz w:val="20"/>
          <w:szCs w:val="20"/>
        </w:rPr>
        <w:t xml:space="preserve"> art. 14 à 17,</w:t>
      </w:r>
    </w:p>
    <w:p w14:paraId="5B0DBAE7" w14:textId="77777777" w:rsidR="00C37FDB" w:rsidRDefault="00C37FDB" w:rsidP="00C37FDB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14:paraId="38C812D3" w14:textId="539C7E49" w:rsidR="00C37FDB" w:rsidRPr="000D2EB2" w:rsidRDefault="00C37FDB" w:rsidP="00C37FDB">
      <w:pPr>
        <w:jc w:val="both"/>
        <w:rPr>
          <w:rFonts w:ascii="Tahoma" w:hAnsi="Tahoma" w:cs="Tahoma"/>
          <w:sz w:val="20"/>
          <w:szCs w:val="20"/>
        </w:rPr>
      </w:pPr>
      <w:r w:rsidRPr="000D2EB2">
        <w:rPr>
          <w:rFonts w:ascii="Tahoma" w:hAnsi="Tahoma" w:cs="Tahoma"/>
          <w:i/>
          <w:iCs/>
          <w:sz w:val="20"/>
          <w:szCs w:val="20"/>
        </w:rPr>
        <w:t xml:space="preserve">(Le cas échéant si l’agent est à temps </w:t>
      </w:r>
      <w:proofErr w:type="gramStart"/>
      <w:r w:rsidRPr="000D2EB2">
        <w:rPr>
          <w:rFonts w:ascii="Tahoma" w:hAnsi="Tahoma" w:cs="Tahoma"/>
          <w:i/>
          <w:iCs/>
          <w:sz w:val="20"/>
          <w:szCs w:val="20"/>
        </w:rPr>
        <w:t>non complet</w:t>
      </w:r>
      <w:proofErr w:type="gramEnd"/>
      <w:r w:rsidRPr="000D2EB2">
        <w:rPr>
          <w:rFonts w:ascii="Tahoma" w:hAnsi="Tahoma" w:cs="Tahoma"/>
          <w:i/>
          <w:iCs/>
          <w:sz w:val="20"/>
          <w:szCs w:val="20"/>
        </w:rPr>
        <w:t xml:space="preserve"> &gt;= 28 heures)</w:t>
      </w:r>
      <w:r w:rsidRPr="000D2EB2">
        <w:rPr>
          <w:rFonts w:ascii="Tahoma" w:hAnsi="Tahoma" w:cs="Tahoma"/>
          <w:sz w:val="20"/>
          <w:szCs w:val="20"/>
        </w:rPr>
        <w:t xml:space="preserve"> Vu le décret n° 91-298 du 20 mars 1991 portant dispositions statutaires applicables aux fonctionnaires territoriaux nommés dans des emplois permanents à temps non complet,</w:t>
      </w:r>
    </w:p>
    <w:p w14:paraId="6E86F97F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B1E7CF7" w14:textId="1862A15C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i/>
          <w:iCs/>
          <w:sz w:val="20"/>
          <w:szCs w:val="20"/>
        </w:rPr>
        <w:t xml:space="preserve">(Le cas échéant si l’agent est stagiaire) </w:t>
      </w:r>
      <w:r w:rsidRPr="00E84729">
        <w:rPr>
          <w:rFonts w:ascii="Tahoma" w:hAnsi="Tahoma" w:cs="Tahoma"/>
          <w:sz w:val="20"/>
          <w:szCs w:val="20"/>
        </w:rPr>
        <w:t>Vu le décret n° 92-1194 du 4 novembre 1992 fixant les dispositions communes applicables aux fonctionnaires stagiaires de la fonction publique territoriale,</w:t>
      </w:r>
      <w:r w:rsidR="00534F1A">
        <w:rPr>
          <w:rFonts w:ascii="Tahoma" w:hAnsi="Tahoma" w:cs="Tahoma"/>
          <w:sz w:val="20"/>
          <w:szCs w:val="20"/>
        </w:rPr>
        <w:t xml:space="preserve"> art. 7,</w:t>
      </w:r>
    </w:p>
    <w:p w14:paraId="6BACE512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C80CF08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Vu le certificat médical établi par M. le Dr … préconisant un arrêt de travail de … jours, à compter de ……, </w:t>
      </w:r>
    </w:p>
    <w:p w14:paraId="1493168A" w14:textId="77777777" w:rsidR="00C37FDB" w:rsidRDefault="00C37FDB" w:rsidP="00C37FDB">
      <w:pPr>
        <w:tabs>
          <w:tab w:val="left" w:pos="28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74F5F46" w14:textId="137C5356" w:rsidR="006C20CD" w:rsidRPr="00E84729" w:rsidRDefault="006C20CD" w:rsidP="00C37FDB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E84729">
        <w:rPr>
          <w:rFonts w:ascii="Tahoma" w:hAnsi="Tahoma" w:cs="Tahoma"/>
          <w:i/>
          <w:iCs/>
          <w:sz w:val="20"/>
          <w:szCs w:val="20"/>
        </w:rPr>
        <w:t xml:space="preserve">(Le cas échéant) </w:t>
      </w:r>
      <w:r w:rsidRPr="00E84729">
        <w:rPr>
          <w:rFonts w:ascii="Tahoma" w:hAnsi="Tahoma" w:cs="Tahoma"/>
          <w:sz w:val="20"/>
          <w:szCs w:val="20"/>
        </w:rPr>
        <w:t xml:space="preserve">Vu les congés de maladie ordinaire de M…………………………… sur une période de référence d’un an ; </w:t>
      </w:r>
    </w:p>
    <w:p w14:paraId="2D82D55E" w14:textId="77777777" w:rsidR="00C37FDB" w:rsidRDefault="00C37FDB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06C057" w14:textId="0F404EBE" w:rsidR="005A17A8" w:rsidRDefault="00F76AB6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ARRETE :</w:t>
      </w:r>
    </w:p>
    <w:p w14:paraId="31198F77" w14:textId="77777777" w:rsidR="00C37FDB" w:rsidRPr="00E84729" w:rsidRDefault="00C37FDB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sz w:val="20"/>
          <w:szCs w:val="20"/>
        </w:rPr>
      </w:pPr>
    </w:p>
    <w:p w14:paraId="4D0DC77C" w14:textId="77777777" w:rsidR="00E45270" w:rsidRPr="00E84729" w:rsidRDefault="00F76AB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1</w:t>
      </w:r>
      <w:r w:rsidRPr="00E84729">
        <w:rPr>
          <w:rFonts w:ascii="Tahoma" w:hAnsi="Tahoma" w:cs="Tahoma"/>
          <w:b/>
          <w:bCs/>
          <w:sz w:val="20"/>
          <w:szCs w:val="20"/>
          <w:vertAlign w:val="superscript"/>
        </w:rPr>
        <w:t>er</w:t>
      </w:r>
      <w:r w:rsidRPr="00E84729">
        <w:rPr>
          <w:rFonts w:ascii="Tahoma" w:hAnsi="Tahoma" w:cs="Tahoma"/>
          <w:b/>
          <w:bCs/>
          <w:sz w:val="20"/>
          <w:szCs w:val="20"/>
        </w:rPr>
        <w:t xml:space="preserve"> :</w:t>
      </w:r>
      <w:r w:rsidR="002B0EA7" w:rsidRPr="00E8472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72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 xml:space="preserve">M. ... est placé en congé de maladie ordinaire du ... au ... </w:t>
      </w:r>
    </w:p>
    <w:p w14:paraId="24AABFE2" w14:textId="77777777" w:rsidR="00E45270" w:rsidRPr="00E84729" w:rsidRDefault="00E45270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07B2E5C" w14:textId="30AC7766" w:rsidR="00A9717F" w:rsidRPr="00C37FDB" w:rsidRDefault="00E45270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2 :</w:t>
      </w:r>
      <w:r w:rsidR="00C37FD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2E8D">
        <w:rPr>
          <w:rFonts w:ascii="Tahoma" w:hAnsi="Tahoma" w:cs="Tahoma"/>
          <w:sz w:val="20"/>
          <w:szCs w:val="20"/>
        </w:rPr>
        <w:t>Pendant son congé de maladie ordinaire, M…… sera rémunéré comme suit</w:t>
      </w:r>
      <w:r w:rsidR="00F76AB6" w:rsidRPr="00E84729">
        <w:rPr>
          <w:rFonts w:ascii="Tahoma" w:hAnsi="Tahoma" w:cs="Tahoma"/>
          <w:sz w:val="20"/>
          <w:szCs w:val="20"/>
        </w:rPr>
        <w:t> :</w:t>
      </w:r>
    </w:p>
    <w:p w14:paraId="32D07C19" w14:textId="77777777" w:rsidR="00413B86" w:rsidRPr="00E84729" w:rsidRDefault="00413B8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AE4541" w14:textId="08CE256F" w:rsidR="002B0EA7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5459A9">
        <w:rPr>
          <w:rFonts w:ascii="Tahoma" w:hAnsi="Tahoma" w:cs="Tahoma"/>
          <w:sz w:val="20"/>
          <w:szCs w:val="20"/>
        </w:rPr>
        <w:t>le</w:t>
      </w:r>
      <w:proofErr w:type="gramEnd"/>
      <w:r w:rsidRPr="005459A9">
        <w:rPr>
          <w:rFonts w:ascii="Tahoma" w:hAnsi="Tahoma" w:cs="Tahoma"/>
          <w:sz w:val="20"/>
          <w:szCs w:val="20"/>
        </w:rPr>
        <w:t xml:space="preserve"> premier jour d’arrêt, soit le 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sans traitement (ni indemnité de résidence, ni NBI, ni primes), le SFT sera maintenu dans sa totalité.</w:t>
      </w:r>
    </w:p>
    <w:p w14:paraId="48A3B38B" w14:textId="0635D14B" w:rsidR="00A9717F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5459A9">
        <w:rPr>
          <w:rFonts w:ascii="Tahoma" w:hAnsi="Tahoma" w:cs="Tahoma"/>
          <w:sz w:val="20"/>
          <w:szCs w:val="20"/>
        </w:rPr>
        <w:t>du</w:t>
      </w:r>
      <w:proofErr w:type="gramEnd"/>
      <w:r w:rsidRPr="005459A9">
        <w:rPr>
          <w:rFonts w:ascii="Tahoma" w:hAnsi="Tahoma" w:cs="Tahoma"/>
          <w:sz w:val="20"/>
          <w:szCs w:val="20"/>
        </w:rPr>
        <w:t xml:space="preserve"> …</w:t>
      </w:r>
      <w:r w:rsidR="00A9717F" w:rsidRPr="005459A9">
        <w:rPr>
          <w:rFonts w:ascii="Tahoma" w:hAnsi="Tahoma" w:cs="Tahoma"/>
          <w:sz w:val="20"/>
          <w:szCs w:val="20"/>
        </w:rPr>
        <w:t xml:space="preserve"> </w:t>
      </w:r>
      <w:r w:rsidRPr="005459A9">
        <w:rPr>
          <w:rFonts w:ascii="Tahoma" w:hAnsi="Tahoma" w:cs="Tahoma"/>
          <w:sz w:val="20"/>
          <w:szCs w:val="20"/>
        </w:rPr>
        <w:t>au ……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rémunération à plein traiteme</w:t>
      </w:r>
      <w:r w:rsidR="00A9717F" w:rsidRPr="005459A9">
        <w:rPr>
          <w:rFonts w:ascii="Tahoma" w:hAnsi="Tahoma" w:cs="Tahoma"/>
          <w:sz w:val="20"/>
          <w:szCs w:val="20"/>
        </w:rPr>
        <w:t>nt, soit … jours ;</w:t>
      </w:r>
    </w:p>
    <w:p w14:paraId="4B2BA8AC" w14:textId="0CBAE05B" w:rsidR="00A9717F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459A9">
        <w:rPr>
          <w:rFonts w:ascii="Tahoma" w:hAnsi="Tahoma" w:cs="Tahoma"/>
          <w:i/>
          <w:iCs/>
          <w:sz w:val="20"/>
          <w:szCs w:val="20"/>
        </w:rPr>
        <w:t>(</w:t>
      </w:r>
      <w:proofErr w:type="gramStart"/>
      <w:r w:rsidRPr="005459A9">
        <w:rPr>
          <w:rFonts w:ascii="Tahoma" w:hAnsi="Tahoma" w:cs="Tahoma"/>
          <w:i/>
          <w:iCs/>
          <w:sz w:val="20"/>
          <w:szCs w:val="20"/>
        </w:rPr>
        <w:t>en</w:t>
      </w:r>
      <w:proofErr w:type="gramEnd"/>
      <w:r w:rsidRPr="005459A9">
        <w:rPr>
          <w:rFonts w:ascii="Tahoma" w:hAnsi="Tahoma" w:cs="Tahoma"/>
          <w:i/>
          <w:iCs/>
          <w:sz w:val="20"/>
          <w:szCs w:val="20"/>
        </w:rPr>
        <w:t xml:space="preserve"> cas de passage à demi-traitement) </w:t>
      </w:r>
      <w:r w:rsidRPr="005459A9">
        <w:rPr>
          <w:rFonts w:ascii="Tahoma" w:hAnsi="Tahoma" w:cs="Tahoma"/>
          <w:sz w:val="20"/>
          <w:szCs w:val="20"/>
        </w:rPr>
        <w:t>du … au 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rémunération à demi-traitement soit …</w:t>
      </w:r>
      <w:r w:rsidR="00A9717F" w:rsidRPr="005459A9">
        <w:rPr>
          <w:rFonts w:ascii="Tahoma" w:hAnsi="Tahoma" w:cs="Tahoma"/>
          <w:sz w:val="20"/>
          <w:szCs w:val="20"/>
        </w:rPr>
        <w:t>…</w:t>
      </w:r>
      <w:r w:rsidRPr="005459A9">
        <w:rPr>
          <w:rFonts w:ascii="Tahoma" w:hAnsi="Tahoma" w:cs="Tahoma"/>
          <w:sz w:val="20"/>
          <w:szCs w:val="20"/>
        </w:rPr>
        <w:t xml:space="preserve"> jours ;</w:t>
      </w:r>
    </w:p>
    <w:p w14:paraId="222ADD5A" w14:textId="77777777" w:rsidR="001E2E8D" w:rsidRPr="00E84729" w:rsidRDefault="001E2E8D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5226F74" w14:textId="61EAF32E" w:rsidR="006916BC" w:rsidRPr="00E84729" w:rsidRDefault="00F76AB6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3 : </w:t>
      </w:r>
      <w:r w:rsidRPr="00E84729">
        <w:rPr>
          <w:rFonts w:ascii="Tahoma" w:hAnsi="Tahoma" w:cs="Tahoma"/>
          <w:sz w:val="20"/>
          <w:szCs w:val="20"/>
        </w:rPr>
        <w:t xml:space="preserve">M. ... devra se soumettre aux </w:t>
      </w:r>
      <w:r w:rsidR="002B0EA7" w:rsidRPr="00E84729">
        <w:rPr>
          <w:rFonts w:ascii="Tahoma" w:hAnsi="Tahoma" w:cs="Tahoma"/>
          <w:sz w:val="20"/>
          <w:szCs w:val="20"/>
        </w:rPr>
        <w:t xml:space="preserve">éventuels </w:t>
      </w:r>
      <w:r w:rsidRPr="00E84729">
        <w:rPr>
          <w:rFonts w:ascii="Tahoma" w:hAnsi="Tahoma" w:cs="Tahoma"/>
          <w:sz w:val="20"/>
          <w:szCs w:val="20"/>
        </w:rPr>
        <w:t xml:space="preserve">contrôles médicaux. L’intéressé devra avertir l'autorité </w:t>
      </w:r>
      <w:r w:rsidR="00E45270" w:rsidRPr="00E84729">
        <w:rPr>
          <w:rFonts w:ascii="Tahoma" w:hAnsi="Tahoma" w:cs="Tahoma"/>
          <w:sz w:val="20"/>
          <w:szCs w:val="20"/>
        </w:rPr>
        <w:t xml:space="preserve">territoriale </w:t>
      </w:r>
      <w:r w:rsidRPr="00E84729">
        <w:rPr>
          <w:rFonts w:ascii="Tahoma" w:hAnsi="Tahoma" w:cs="Tahoma"/>
          <w:sz w:val="20"/>
          <w:szCs w:val="20"/>
        </w:rPr>
        <w:t xml:space="preserve">de toute nouvelle prolongation si possible au moins la veille de la date de reprise initialement prévue et transmettre le certificat médical de prolongation dans un délai maximum de 48 heures à compter du premier jour de la prolongation. </w:t>
      </w:r>
    </w:p>
    <w:p w14:paraId="751AABAD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548523A" w14:textId="618ADCB6" w:rsidR="00EE1115" w:rsidRDefault="00F76AB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97645980"/>
      <w:r w:rsidRPr="00E84729">
        <w:rPr>
          <w:rFonts w:ascii="Tahoma" w:hAnsi="Tahoma" w:cs="Tahoma"/>
          <w:b/>
          <w:bCs/>
          <w:sz w:val="20"/>
          <w:szCs w:val="20"/>
        </w:rPr>
        <w:t>Article 4 :</w:t>
      </w:r>
      <w:r w:rsidRPr="00E84729">
        <w:rPr>
          <w:rFonts w:ascii="Tahoma" w:hAnsi="Tahoma" w:cs="Tahoma"/>
          <w:sz w:val="20"/>
          <w:szCs w:val="20"/>
        </w:rPr>
        <w:t xml:space="preserve"> Le présent arrêt</w:t>
      </w:r>
      <w:r w:rsidR="004E1E2E" w:rsidRPr="00E84729">
        <w:rPr>
          <w:rFonts w:ascii="Tahoma" w:hAnsi="Tahoma" w:cs="Tahoma"/>
          <w:sz w:val="20"/>
          <w:szCs w:val="20"/>
        </w:rPr>
        <w:t>é sera :</w:t>
      </w:r>
    </w:p>
    <w:p w14:paraId="274224C3" w14:textId="77777777" w:rsidR="00EE1115" w:rsidRDefault="00EE1115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38F354" w14:textId="7FA3AD9D" w:rsidR="006916BC" w:rsidRPr="00EE1115" w:rsidRDefault="004E1E2E" w:rsidP="00C37FD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1115">
        <w:rPr>
          <w:rFonts w:ascii="Tahoma" w:hAnsi="Tahoma" w:cs="Tahoma"/>
          <w:sz w:val="20"/>
          <w:szCs w:val="20"/>
        </w:rPr>
        <w:t>Notifié à l'intéressé,</w:t>
      </w:r>
    </w:p>
    <w:p w14:paraId="72DB8B25" w14:textId="77777777" w:rsidR="006916BC" w:rsidRPr="00EE1115" w:rsidRDefault="00F76AB6" w:rsidP="00C37FD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1115">
        <w:rPr>
          <w:rFonts w:ascii="Tahoma" w:hAnsi="Tahoma" w:cs="Tahoma"/>
          <w:sz w:val="20"/>
          <w:szCs w:val="20"/>
        </w:rPr>
        <w:t>Transmis a</w:t>
      </w:r>
      <w:r w:rsidR="006916BC" w:rsidRPr="00EE1115">
        <w:rPr>
          <w:rFonts w:ascii="Tahoma" w:hAnsi="Tahoma" w:cs="Tahoma"/>
          <w:sz w:val="20"/>
          <w:szCs w:val="20"/>
        </w:rPr>
        <w:t>u comptable de la collectivité,</w:t>
      </w:r>
    </w:p>
    <w:p w14:paraId="6B75FC08" w14:textId="77777777" w:rsidR="00A9717F" w:rsidRPr="00E84729" w:rsidRDefault="00A9717F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BA457CC" w14:textId="7C0993BB" w:rsidR="00E84729" w:rsidRPr="00E84729" w:rsidRDefault="00E84729" w:rsidP="00C37FDB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Fait à .............................., le ......................</w:t>
      </w:r>
    </w:p>
    <w:p w14:paraId="7AC91974" w14:textId="77777777" w:rsidR="00E84729" w:rsidRPr="00E84729" w:rsidRDefault="00E84729" w:rsidP="00C37FDB">
      <w:pPr>
        <w:tabs>
          <w:tab w:val="left" w:pos="4889"/>
          <w:tab w:val="left" w:pos="9778"/>
        </w:tabs>
        <w:jc w:val="both"/>
        <w:rPr>
          <w:rFonts w:ascii="Tahoma" w:hAnsi="Tahoma" w:cs="Tahoma"/>
          <w:sz w:val="20"/>
          <w:szCs w:val="20"/>
        </w:rPr>
      </w:pPr>
    </w:p>
    <w:p w14:paraId="0FE26A02" w14:textId="77777777" w:rsidR="00E84729" w:rsidRPr="00E84729" w:rsidRDefault="00E84729" w:rsidP="00C37FDB">
      <w:pPr>
        <w:tabs>
          <w:tab w:val="left" w:pos="5670"/>
          <w:tab w:val="left" w:pos="9778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Le Maire (ou le Président)</w:t>
      </w:r>
    </w:p>
    <w:p w14:paraId="5ADDBF57" w14:textId="77777777" w:rsidR="006916BC" w:rsidRPr="00E84729" w:rsidRDefault="006916BC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8025536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6F163C6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6965D97" w14:textId="77777777" w:rsidR="00413B86" w:rsidRDefault="00413B86" w:rsidP="00C37FDB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501D8270" w14:textId="0B433A45" w:rsidR="00E84729" w:rsidRDefault="00E84729" w:rsidP="00C37FDB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Maire </w:t>
      </w:r>
      <w:r w:rsidRPr="00413B86">
        <w:rPr>
          <w:rFonts w:ascii="Tahoma" w:hAnsi="Tahoma" w:cs="Tahoma"/>
          <w:i/>
          <w:iCs/>
          <w:sz w:val="18"/>
          <w:szCs w:val="18"/>
        </w:rPr>
        <w:t>(ou le Président)</w:t>
      </w:r>
      <w:r w:rsidRPr="00413B86">
        <w:rPr>
          <w:rFonts w:ascii="Tahoma" w:hAnsi="Tahoma" w:cs="Tahoma"/>
          <w:sz w:val="18"/>
          <w:szCs w:val="18"/>
        </w:rPr>
        <w:t>,</w:t>
      </w:r>
    </w:p>
    <w:p w14:paraId="2D1F3126" w14:textId="77777777" w:rsidR="005459A9" w:rsidRPr="00413B86" w:rsidRDefault="005459A9" w:rsidP="00C37FDB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1721DB8E" w14:textId="77777777" w:rsidR="00E84729" w:rsidRPr="00413B86" w:rsidRDefault="00E84729" w:rsidP="00C37FDB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413B86">
        <w:rPr>
          <w:rFonts w:ascii="Tahoma" w:hAnsi="Tahoma" w:cs="Tahoma"/>
          <w:sz w:val="18"/>
          <w:szCs w:val="18"/>
        </w:rPr>
        <w:t>certifie</w:t>
      </w:r>
      <w:proofErr w:type="gramEnd"/>
      <w:r w:rsidRPr="00413B86">
        <w:rPr>
          <w:rFonts w:ascii="Tahoma" w:hAnsi="Tahoma" w:cs="Tahoma"/>
          <w:sz w:val="18"/>
          <w:szCs w:val="18"/>
        </w:rPr>
        <w:t xml:space="preserve"> sous sa responsabilité le caractère exécutoire de cet acte,</w:t>
      </w:r>
    </w:p>
    <w:p w14:paraId="08F09A66" w14:textId="77777777" w:rsidR="00E84729" w:rsidRPr="00413B86" w:rsidRDefault="00E84729" w:rsidP="00C37FDB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413B86">
        <w:rPr>
          <w:rFonts w:ascii="Tahoma" w:hAnsi="Tahoma" w:cs="Tahoma"/>
          <w:sz w:val="18"/>
          <w:szCs w:val="18"/>
        </w:rPr>
        <w:t>informe</w:t>
      </w:r>
      <w:proofErr w:type="gramEnd"/>
      <w:r w:rsidRPr="00413B86">
        <w:rPr>
          <w:rFonts w:ascii="Tahoma" w:hAnsi="Tahoma" w:cs="Tahoma"/>
          <w:sz w:val="18"/>
          <w:szCs w:val="18"/>
        </w:rPr>
        <w:t xml:space="preserve"> que le présent arrêté peut faire l’objet d’un recours pour excès de pouvoir devant le Tribunal Administratif dans un délai de 2 mois à compter de la présente notification.</w:t>
      </w:r>
    </w:p>
    <w:p w14:paraId="115FFD4B" w14:textId="77777777" w:rsidR="00E84729" w:rsidRPr="00413B86" w:rsidRDefault="00E84729" w:rsidP="00C37FDB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5" w:history="1">
        <w:r w:rsidRPr="00413B86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2A84EF9A" w14:textId="77777777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8E8BA1E" w14:textId="4390F663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Notifié </w:t>
      </w:r>
      <w:r w:rsidR="009D1789">
        <w:rPr>
          <w:rFonts w:ascii="Tahoma" w:hAnsi="Tahoma" w:cs="Tahoma"/>
          <w:sz w:val="18"/>
          <w:szCs w:val="18"/>
        </w:rPr>
        <w:t xml:space="preserve">à l’agent </w:t>
      </w:r>
      <w:r w:rsidRPr="00413B86">
        <w:rPr>
          <w:rFonts w:ascii="Tahoma" w:hAnsi="Tahoma" w:cs="Tahoma"/>
          <w:sz w:val="18"/>
          <w:szCs w:val="18"/>
        </w:rPr>
        <w:t>le .....................................</w:t>
      </w:r>
    </w:p>
    <w:p w14:paraId="2338DC34" w14:textId="77777777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57647F6C" w14:textId="77777777" w:rsidR="00E84729" w:rsidRPr="00413B86" w:rsidRDefault="00E84729" w:rsidP="00C37FDB">
      <w:pPr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bookmarkEnd w:id="0"/>
    <w:p w14:paraId="23B0C90B" w14:textId="77777777" w:rsidR="00E84729" w:rsidRPr="00E84729" w:rsidRDefault="00E84729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E84729" w:rsidRPr="00E84729" w:rsidSect="00413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8E5"/>
    <w:multiLevelType w:val="hybridMultilevel"/>
    <w:tmpl w:val="62BEA83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538"/>
    <w:multiLevelType w:val="hybridMultilevel"/>
    <w:tmpl w:val="B4F47D7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1235"/>
    <w:multiLevelType w:val="hybridMultilevel"/>
    <w:tmpl w:val="55B67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6AB6"/>
    <w:rsid w:val="00082AB5"/>
    <w:rsid w:val="001E2E8D"/>
    <w:rsid w:val="002B0EA7"/>
    <w:rsid w:val="003F7D2C"/>
    <w:rsid w:val="00413B86"/>
    <w:rsid w:val="004E1E2E"/>
    <w:rsid w:val="00530148"/>
    <w:rsid w:val="00534F1A"/>
    <w:rsid w:val="005459A9"/>
    <w:rsid w:val="005A17A8"/>
    <w:rsid w:val="005C5063"/>
    <w:rsid w:val="005D2A41"/>
    <w:rsid w:val="0064755F"/>
    <w:rsid w:val="006916BC"/>
    <w:rsid w:val="006C1F1A"/>
    <w:rsid w:val="006C20CD"/>
    <w:rsid w:val="00756282"/>
    <w:rsid w:val="007E0222"/>
    <w:rsid w:val="0080245A"/>
    <w:rsid w:val="0080678A"/>
    <w:rsid w:val="0082454E"/>
    <w:rsid w:val="009D1789"/>
    <w:rsid w:val="00A04EF8"/>
    <w:rsid w:val="00A809FD"/>
    <w:rsid w:val="00A9717F"/>
    <w:rsid w:val="00AC22B5"/>
    <w:rsid w:val="00AE3EBF"/>
    <w:rsid w:val="00B0517B"/>
    <w:rsid w:val="00C37FDB"/>
    <w:rsid w:val="00C87C10"/>
    <w:rsid w:val="00C91CC6"/>
    <w:rsid w:val="00C96DE8"/>
    <w:rsid w:val="00D379D7"/>
    <w:rsid w:val="00D456F0"/>
    <w:rsid w:val="00E45270"/>
    <w:rsid w:val="00E84729"/>
    <w:rsid w:val="00EB20B3"/>
    <w:rsid w:val="00EE1115"/>
    <w:rsid w:val="00F76AB6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C0D1B2"/>
  <w14:defaultImageDpi w14:val="0"/>
  <w15:docId w15:val="{BE190D32-DDE6-4EF2-91BB-A452E54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5"/>
      <w:szCs w:val="16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4F81BD" w:themeColor="accent1"/>
      <w:sz w:val="16"/>
      <w:szCs w:val="16"/>
    </w:rPr>
  </w:style>
  <w:style w:type="paragraph" w:customStyle="1" w:styleId="small">
    <w:name w:val="small"/>
    <w:rPr>
      <w:rFonts w:ascii="Verdana" w:hAnsi="Verdana"/>
      <w:sz w:val="2"/>
      <w:szCs w:val="2"/>
    </w:rPr>
  </w:style>
  <w:style w:type="paragraph" w:customStyle="1" w:styleId="align-center">
    <w:name w:val="align-cente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B0E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0222"/>
    <w:rPr>
      <w:rFonts w:cs="Times New Roman"/>
      <w:color w:val="0000FF" w:themeColor="hyperlink"/>
      <w:u w:val="single"/>
    </w:rPr>
  </w:style>
  <w:style w:type="paragraph" w:customStyle="1" w:styleId="recours">
    <w:name w:val="recours"/>
    <w:basedOn w:val="Normal"/>
    <w:rsid w:val="00E84729"/>
    <w:pPr>
      <w:autoSpaceDE w:val="0"/>
      <w:autoSpaceDN w:val="0"/>
      <w:ind w:left="284" w:right="6095"/>
      <w:jc w:val="both"/>
    </w:pPr>
    <w:rPr>
      <w:rFonts w:ascii="Arial" w:eastAsiaTheme="minorHAnsi" w:hAnsi="Arial" w:cs="Arial"/>
      <w:sz w:val="16"/>
    </w:rPr>
  </w:style>
  <w:style w:type="character" w:styleId="lev">
    <w:name w:val="Strong"/>
    <w:basedOn w:val="Policepardfaut"/>
    <w:uiPriority w:val="22"/>
    <w:qFormat/>
    <w:rsid w:val="001E2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cgarduno.documentation@cdg72.fr</dc:creator>
  <cp:keywords/>
  <dc:description/>
  <cp:lastModifiedBy>Laurence CREPALDI</cp:lastModifiedBy>
  <cp:revision>6</cp:revision>
  <cp:lastPrinted>2018-03-07T09:18:00Z</cp:lastPrinted>
  <dcterms:created xsi:type="dcterms:W3CDTF">2022-03-24T10:57:00Z</dcterms:created>
  <dcterms:modified xsi:type="dcterms:W3CDTF">2022-03-31T14:20:00Z</dcterms:modified>
</cp:coreProperties>
</file>